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bookmarkStart w:id="0" w:name="_GoBack"/>
      <w:r>
        <w:rPr>
          <w:rFonts w:hint="eastAsia" w:ascii="方正小标宋简体" w:hAnsi="方正小标宋简体" w:eastAsia="方正小标宋简体" w:cs="方正小标宋简体"/>
          <w:sz w:val="44"/>
          <w:szCs w:val="44"/>
        </w:rPr>
        <w:t>城乡规划领域基层政务公开标准指引</w:t>
      </w:r>
    </w:p>
    <w:bookmarkEnd w:id="0"/>
    <w:p>
      <w:pPr>
        <w:ind w:firstLine="640"/>
        <w:rPr>
          <w:rFonts w:hint="eastAsia" w:ascii="仿宋" w:hAnsi="仿宋" w:eastAsia="仿宋" w:cs="仿宋"/>
          <w:sz w:val="32"/>
          <w:szCs w:val="32"/>
        </w:rPr>
      </w:pPr>
      <w:r>
        <w:rPr>
          <w:rFonts w:hint="eastAsia" w:ascii="仿宋" w:hAnsi="仿宋" w:eastAsia="仿宋" w:cs="仿宋"/>
          <w:sz w:val="32"/>
          <w:szCs w:val="32"/>
        </w:rPr>
        <w:t>为切实履行建立国土空间规划体系并监督实施职责，进一步推进城乡规划领域基层政务公开标准化规范化，根据《国务院办公厅关于印发开展基层政务公开标准化规范化试点工作方案的通知》（国办发〔2017〕42号）</w:t>
      </w:r>
      <w:r>
        <w:rPr>
          <w:rFonts w:hint="eastAsia" w:ascii="仿宋" w:hAnsi="仿宋" w:eastAsia="仿宋" w:cs="仿宋"/>
          <w:sz w:val="32"/>
          <w:szCs w:val="32"/>
          <w:lang w:eastAsia="zh-CN"/>
        </w:rPr>
        <w:t>、《黑龙江省人民政府办公厅关于全面推进基层政务公开标准化规范化工作的实施意见》</w:t>
      </w:r>
      <w:r>
        <w:rPr>
          <w:rFonts w:hint="eastAsia" w:ascii="仿宋" w:hAnsi="仿宋" w:eastAsia="仿宋" w:cs="仿宋"/>
          <w:sz w:val="32"/>
          <w:szCs w:val="32"/>
        </w:rPr>
        <w:t>（</w:t>
      </w:r>
      <w:r>
        <w:rPr>
          <w:rFonts w:hint="eastAsia" w:ascii="仿宋" w:hAnsi="仿宋" w:eastAsia="仿宋" w:cs="仿宋"/>
          <w:sz w:val="32"/>
          <w:szCs w:val="32"/>
          <w:lang w:eastAsia="zh-CN"/>
        </w:rPr>
        <w:t>黑政办</w:t>
      </w:r>
      <w:r>
        <w:rPr>
          <w:rFonts w:hint="eastAsia" w:ascii="仿宋" w:hAnsi="仿宋" w:eastAsia="仿宋" w:cs="仿宋"/>
          <w:sz w:val="32"/>
          <w:szCs w:val="32"/>
        </w:rPr>
        <w:t>发〔20</w:t>
      </w:r>
      <w:r>
        <w:rPr>
          <w:rFonts w:hint="eastAsia" w:ascii="仿宋" w:hAnsi="仿宋" w:eastAsia="仿宋" w:cs="仿宋"/>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17</w:t>
      </w:r>
      <w:r>
        <w:rPr>
          <w:rFonts w:hint="eastAsia" w:ascii="仿宋" w:hAnsi="仿宋" w:eastAsia="仿宋" w:cs="仿宋"/>
          <w:sz w:val="32"/>
          <w:szCs w:val="32"/>
        </w:rPr>
        <w:t xml:space="preserve">号）有关要求，在汇总梳理基层政务公开标准化试点成果基础上，编制形成《城乡规划领域基层政务公开标准目录》（以下简称《目录》），现将有关事项通知如下。  </w:t>
      </w:r>
    </w:p>
    <w:p>
      <w:pPr>
        <w:numPr>
          <w:ilvl w:val="0"/>
          <w:numId w:val="1"/>
        </w:numPr>
        <w:ind w:firstLine="640"/>
        <w:rPr>
          <w:rFonts w:hint="eastAsia" w:ascii="仿宋" w:hAnsi="仿宋" w:eastAsia="仿宋" w:cs="仿宋"/>
          <w:sz w:val="32"/>
          <w:szCs w:val="32"/>
        </w:rPr>
      </w:pPr>
      <w:r>
        <w:rPr>
          <w:rFonts w:hint="eastAsia" w:ascii="仿宋" w:hAnsi="仿宋" w:eastAsia="仿宋" w:cs="仿宋"/>
          <w:sz w:val="32"/>
          <w:szCs w:val="32"/>
        </w:rPr>
        <w:t xml:space="preserve">总体要求  </w:t>
      </w:r>
    </w:p>
    <w:p>
      <w:pPr>
        <w:numPr>
          <w:numId w:val="0"/>
        </w:num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开展城乡规划领域基层政务公开标准化规范化工作，是党中央、国务院</w:t>
      </w:r>
      <w:r>
        <w:rPr>
          <w:rFonts w:hint="eastAsia" w:ascii="仿宋" w:hAnsi="仿宋" w:eastAsia="仿宋" w:cs="仿宋"/>
          <w:sz w:val="32"/>
          <w:szCs w:val="32"/>
          <w:lang w:eastAsia="zh-CN"/>
        </w:rPr>
        <w:t>、省自然资源厅</w:t>
      </w:r>
      <w:r>
        <w:rPr>
          <w:rFonts w:hint="eastAsia" w:ascii="仿宋" w:hAnsi="仿宋" w:eastAsia="仿宋" w:cs="仿宋"/>
          <w:sz w:val="32"/>
          <w:szCs w:val="32"/>
        </w:rPr>
        <w:t xml:space="preserve">部署的重要改革任务，是以人民为中心，加快建设法治政府、服务型政府的具体措施。《目录》将城乡规划领域应公开、可公开事项和内容按照科学性、合理性、操作性的原则目录化，易于基层对标实施，便于社会公众查询使用。在推进城乡规划领域政务公开标准化规范化工作中应发挥好指导、监督、评估等作用。  </w:t>
      </w:r>
    </w:p>
    <w:p>
      <w:pPr>
        <w:numPr>
          <w:numId w:val="0"/>
        </w:numPr>
        <w:ind w:firstLine="640"/>
        <w:rPr>
          <w:rFonts w:hint="eastAsia" w:ascii="仿宋" w:hAnsi="仿宋" w:eastAsia="仿宋" w:cs="仿宋"/>
          <w:sz w:val="32"/>
          <w:szCs w:val="32"/>
        </w:rPr>
      </w:pPr>
      <w:r>
        <w:rPr>
          <w:rFonts w:hint="eastAsia" w:ascii="仿宋" w:hAnsi="仿宋" w:eastAsia="仿宋" w:cs="仿宋"/>
          <w:sz w:val="32"/>
          <w:szCs w:val="32"/>
        </w:rPr>
        <w:t xml:space="preserve">二、适用范围  </w:t>
      </w:r>
    </w:p>
    <w:p>
      <w:pPr>
        <w:numPr>
          <w:numId w:val="0"/>
        </w:numPr>
        <w:ind w:firstLine="640"/>
        <w:rPr>
          <w:rFonts w:hint="eastAsia" w:ascii="仿宋" w:hAnsi="仿宋" w:eastAsia="仿宋" w:cs="仿宋"/>
          <w:sz w:val="32"/>
          <w:szCs w:val="32"/>
        </w:rPr>
      </w:pPr>
      <w:r>
        <w:rPr>
          <w:rFonts w:hint="eastAsia" w:ascii="仿宋" w:hAnsi="仿宋" w:eastAsia="仿宋" w:cs="仿宋"/>
          <w:sz w:val="32"/>
          <w:szCs w:val="32"/>
        </w:rPr>
        <w:t xml:space="preserve">本指引所称城乡规划领域，包含城市规划、镇规划、乡规划和村庄规划以及同级的土地利用总体规划。其中城市规划、镇规划分为总体规划和详细规划，详细规划分为控制性详细规划和修建性详细规划。本指引主要适用于市自然资源主管部门。  </w:t>
      </w:r>
    </w:p>
    <w:p>
      <w:pPr>
        <w:numPr>
          <w:numId w:val="0"/>
        </w:numPr>
        <w:ind w:firstLine="640"/>
        <w:rPr>
          <w:rFonts w:hint="eastAsia" w:ascii="仿宋" w:hAnsi="仿宋" w:eastAsia="仿宋" w:cs="仿宋"/>
          <w:sz w:val="32"/>
          <w:szCs w:val="32"/>
        </w:rPr>
      </w:pPr>
      <w:r>
        <w:rPr>
          <w:rFonts w:hint="eastAsia" w:ascii="仿宋" w:hAnsi="仿宋" w:eastAsia="仿宋" w:cs="仿宋"/>
          <w:sz w:val="32"/>
          <w:szCs w:val="32"/>
        </w:rPr>
        <w:t xml:space="preserve">建立国土空间规划体系并监督实施，将主体功能区规划、土地利用规划、城乡规划等空间规划融合为统一的国土空间规划，实现“多规合一”，是党中央、国务院作出的重大部署。新的国土空间规划批复后，将不再编制和审批土地利用总体规划和相对应的城乡规划，国土空间规划的公开标准指引将另行制定。  </w:t>
      </w:r>
    </w:p>
    <w:p>
      <w:pPr>
        <w:numPr>
          <w:ilvl w:val="0"/>
          <w:numId w:val="2"/>
        </w:numPr>
        <w:ind w:firstLine="640"/>
        <w:rPr>
          <w:rFonts w:hint="eastAsia" w:ascii="仿宋" w:hAnsi="仿宋" w:eastAsia="仿宋" w:cs="仿宋"/>
          <w:sz w:val="32"/>
          <w:szCs w:val="32"/>
        </w:rPr>
      </w:pPr>
      <w:r>
        <w:rPr>
          <w:rFonts w:hint="eastAsia" w:ascii="仿宋" w:hAnsi="仿宋" w:eastAsia="仿宋" w:cs="仿宋"/>
          <w:sz w:val="32"/>
          <w:szCs w:val="32"/>
        </w:rPr>
        <w:t xml:space="preserve">主要内容  </w:t>
      </w:r>
    </w:p>
    <w:p>
      <w:pPr>
        <w:numPr>
          <w:numId w:val="0"/>
        </w:numPr>
        <w:ind w:firstLine="640"/>
        <w:rPr>
          <w:rFonts w:hint="eastAsia" w:ascii="仿宋" w:hAnsi="仿宋" w:eastAsia="仿宋" w:cs="仿宋"/>
          <w:sz w:val="32"/>
          <w:szCs w:val="32"/>
        </w:rPr>
      </w:pPr>
      <w:r>
        <w:rPr>
          <w:rFonts w:hint="eastAsia" w:ascii="仿宋" w:hAnsi="仿宋" w:eastAsia="仿宋" w:cs="仿宋"/>
          <w:sz w:val="32"/>
          <w:szCs w:val="32"/>
        </w:rPr>
        <w:t>《目录》明确了城乡规划领域涉及规划编制、审批、实施管理等</w:t>
      </w:r>
      <w:r>
        <w:rPr>
          <w:rFonts w:hint="eastAsia" w:ascii="仿宋" w:hAnsi="仿宋" w:eastAsia="仿宋" w:cs="仿宋"/>
          <w:sz w:val="32"/>
          <w:szCs w:val="32"/>
          <w:lang w:val="en-US" w:eastAsia="zh-CN"/>
        </w:rPr>
        <w:t>3</w:t>
      </w:r>
      <w:r>
        <w:rPr>
          <w:rFonts w:hint="eastAsia" w:ascii="仿宋" w:hAnsi="仿宋" w:eastAsia="仿宋" w:cs="仿宋"/>
          <w:sz w:val="32"/>
          <w:szCs w:val="32"/>
        </w:rPr>
        <w:t>类一级事项1</w:t>
      </w:r>
      <w:r>
        <w:rPr>
          <w:rFonts w:hint="eastAsia" w:ascii="仿宋" w:hAnsi="仿宋" w:eastAsia="仿宋" w:cs="仿宋"/>
          <w:sz w:val="32"/>
          <w:szCs w:val="32"/>
          <w:lang w:val="en-US" w:eastAsia="zh-CN"/>
        </w:rPr>
        <w:t>1</w:t>
      </w:r>
      <w:r>
        <w:rPr>
          <w:rFonts w:hint="eastAsia" w:ascii="仿宋" w:hAnsi="仿宋" w:eastAsia="仿宋" w:cs="仿宋"/>
          <w:sz w:val="32"/>
          <w:szCs w:val="32"/>
        </w:rPr>
        <w:t>类二级事项。按照公开内容、公开依据、公开时限、公开主体、公开渠道、公开对象和公开方式等标准，梳理出城乡规划领域基层政务公开服务清单。</w:t>
      </w:r>
    </w:p>
    <w:p>
      <w:pPr>
        <w:numPr>
          <w:ilvl w:val="0"/>
          <w:numId w:val="2"/>
        </w:numPr>
        <w:ind w:firstLine="640" w:firstLineChars="0"/>
        <w:rPr>
          <w:rFonts w:hint="eastAsia" w:ascii="仿宋" w:hAnsi="仿宋" w:eastAsia="仿宋" w:cs="仿宋"/>
          <w:sz w:val="32"/>
          <w:szCs w:val="32"/>
        </w:rPr>
      </w:pPr>
      <w:r>
        <w:rPr>
          <w:rFonts w:hint="eastAsia" w:ascii="仿宋" w:hAnsi="仿宋" w:eastAsia="仿宋" w:cs="仿宋"/>
          <w:sz w:val="32"/>
          <w:szCs w:val="32"/>
        </w:rPr>
        <w:t xml:space="preserve">组织实施  </w:t>
      </w:r>
    </w:p>
    <w:p>
      <w:pPr>
        <w:numPr>
          <w:numId w:val="0"/>
        </w:num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自然资源管理部门按照决策、执行、管理、服务、结果“五公开”要求，依托政府门户网站，利用统一的政府信息公开平台集中发布、公开城乡规划领域信息。涉及公共利益调整、需要公众广泛知晓或者需要公众参与决策的，应及时公开，积极回应社会关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59E76C"/>
    <w:multiLevelType w:val="singleLevel"/>
    <w:tmpl w:val="5F59E76C"/>
    <w:lvl w:ilvl="0" w:tentative="0">
      <w:start w:val="1"/>
      <w:numFmt w:val="chineseCounting"/>
      <w:suff w:val="nothing"/>
      <w:lvlText w:val="%1、"/>
      <w:lvlJc w:val="left"/>
    </w:lvl>
  </w:abstractNum>
  <w:abstractNum w:abstractNumId="1">
    <w:nsid w:val="5F59E784"/>
    <w:multiLevelType w:val="singleLevel"/>
    <w:tmpl w:val="5F59E784"/>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D3F74"/>
    <w:rsid w:val="212D3F7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2020-09-10T08:34:00Z</dcterms:created>
  <dc:creator>Administrator</dc:creator>
  <cp:lastModifiedBy>Administrator</cp:lastModifiedBy>
  <dcterms:modified xsi:type="dcterms:W3CDTF">2020-09-10T09:44:08Z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